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80136" w14:textId="77777777" w:rsidR="007875FE" w:rsidRPr="00217F33" w:rsidRDefault="00FC3ADE"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（別紙）</w:t>
      </w:r>
    </w:p>
    <w:p w14:paraId="7DA36827" w14:textId="77777777" w:rsidR="00DE52AC" w:rsidRPr="00217F33" w:rsidRDefault="00FC3ADE" w:rsidP="00D96513">
      <w:pPr>
        <w:snapToGrid w:val="0"/>
        <w:spacing w:line="216" w:lineRule="auto"/>
        <w:ind w:firstLineChars="100" w:firstLine="200"/>
        <w:jc w:val="center"/>
        <w:rPr>
          <w:rFonts w:ascii="Meiryo UI" w:eastAsia="Meiryo UI" w:hAnsi="Meiryo UI"/>
          <w:sz w:val="20"/>
          <w:szCs w:val="20"/>
        </w:rPr>
      </w:pPr>
      <w:r w:rsidRPr="00217F33">
        <w:rPr>
          <w:rFonts w:ascii="Meiryo UI" w:eastAsia="Meiryo UI" w:hAnsi="Meiryo UI" w:hint="eastAsia"/>
          <w:sz w:val="20"/>
          <w:szCs w:val="20"/>
        </w:rPr>
        <w:t>継続契約方式対象工事について</w:t>
      </w:r>
    </w:p>
    <w:p w14:paraId="00DFA3F9" w14:textId="77777777" w:rsidR="00D96513" w:rsidRPr="00217F33" w:rsidRDefault="00D96513" w:rsidP="00D96513">
      <w:pPr>
        <w:snapToGrid w:val="0"/>
        <w:spacing w:line="216" w:lineRule="auto"/>
        <w:ind w:firstLineChars="100" w:firstLine="200"/>
        <w:rPr>
          <w:rFonts w:ascii="Meiryo UI" w:eastAsia="Meiryo UI" w:hAnsi="Meiryo UI"/>
          <w:sz w:val="20"/>
          <w:szCs w:val="20"/>
        </w:rPr>
      </w:pPr>
    </w:p>
    <w:p w14:paraId="1EA2280E" w14:textId="5AC17734" w:rsidR="00FC3ADE" w:rsidRPr="00217F33" w:rsidRDefault="00FC3ADE" w:rsidP="00D96513">
      <w:pPr>
        <w:snapToGrid w:val="0"/>
        <w:spacing w:line="216" w:lineRule="auto"/>
        <w:ind w:firstLineChars="100" w:firstLine="200"/>
        <w:rPr>
          <w:rFonts w:ascii="Meiryo UI" w:eastAsia="Meiryo UI" w:hAnsi="Meiryo UI"/>
          <w:sz w:val="20"/>
          <w:szCs w:val="20"/>
          <w:u w:val="single"/>
        </w:rPr>
      </w:pPr>
      <w:r w:rsidRPr="00217F33">
        <w:rPr>
          <w:rFonts w:ascii="Meiryo UI" w:eastAsia="Meiryo UI" w:hAnsi="Meiryo UI" w:hint="eastAsia"/>
          <w:sz w:val="20"/>
          <w:szCs w:val="20"/>
        </w:rPr>
        <w:t>工事名）</w:t>
      </w:r>
      <w:r w:rsidR="00DE52AC" w:rsidRPr="00217F33">
        <w:rPr>
          <w:rFonts w:ascii="Meiryo UI" w:eastAsia="Meiryo UI" w:hAnsi="Meiryo UI" w:hint="eastAsia"/>
          <w:sz w:val="20"/>
          <w:szCs w:val="20"/>
          <w:u w:val="single"/>
        </w:rPr>
        <w:t xml:space="preserve">　　</w:t>
      </w:r>
      <w:r w:rsidR="003003FC" w:rsidRPr="009473BF">
        <w:rPr>
          <w:rFonts w:ascii="Meiryo UI" w:eastAsia="Meiryo UI" w:hAnsi="Meiryo UI" w:hint="eastAsia"/>
          <w:sz w:val="20"/>
          <w:szCs w:val="20"/>
          <w:u w:val="single"/>
        </w:rPr>
        <w:t>東関東自動車道　下小野第二高架橋耐震補強工事</w:t>
      </w:r>
      <w:r w:rsidR="005E4CDD">
        <w:rPr>
          <w:rFonts w:ascii="Meiryo UI" w:eastAsia="Meiryo UI" w:hAnsi="Meiryo UI" w:hint="eastAsia"/>
          <w:color w:val="0070C0"/>
          <w:sz w:val="20"/>
          <w:szCs w:val="20"/>
          <w:u w:val="single"/>
        </w:rPr>
        <w:t xml:space="preserve">　　　　</w:t>
      </w:r>
      <w:r w:rsidR="00DE52AC" w:rsidRPr="00217F33">
        <w:rPr>
          <w:rFonts w:ascii="Meiryo UI" w:eastAsia="Meiryo UI" w:hAnsi="Meiryo UI" w:hint="eastAsia"/>
          <w:sz w:val="20"/>
          <w:szCs w:val="20"/>
          <w:u w:val="single"/>
        </w:rPr>
        <w:t xml:space="preserve">　　　　　　　　　　　　　　　　　　　　　　　　　</w:t>
      </w:r>
    </w:p>
    <w:p w14:paraId="4DE75516" w14:textId="77777777" w:rsidR="00FC3ADE" w:rsidRPr="00217F33" w:rsidRDefault="00FC3ADE" w:rsidP="00D96513">
      <w:pPr>
        <w:snapToGrid w:val="0"/>
        <w:spacing w:line="216" w:lineRule="auto"/>
        <w:ind w:firstLineChars="100" w:firstLine="200"/>
        <w:rPr>
          <w:rFonts w:ascii="Meiryo UI" w:eastAsia="Meiryo UI" w:hAnsi="Meiryo UI"/>
          <w:sz w:val="20"/>
          <w:szCs w:val="20"/>
        </w:rPr>
      </w:pPr>
    </w:p>
    <w:p w14:paraId="3EB81495" w14:textId="061D320E" w:rsidR="00124688" w:rsidRPr="00217F33" w:rsidRDefault="00FC3ADE"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本工事は、継続契約方式の対象工事であ</w:t>
      </w:r>
      <w:r w:rsidR="00124688" w:rsidRPr="00217F33">
        <w:rPr>
          <w:rFonts w:ascii="Meiryo UI" w:eastAsia="Meiryo UI" w:hAnsi="Meiryo UI" w:hint="eastAsia"/>
          <w:sz w:val="20"/>
          <w:szCs w:val="20"/>
        </w:rPr>
        <w:t>り、</w:t>
      </w:r>
      <w:r w:rsidR="00850776">
        <w:rPr>
          <w:rFonts w:ascii="Meiryo UI" w:eastAsia="Meiryo UI" w:hAnsi="Meiryo UI" w:hint="eastAsia"/>
          <w:sz w:val="20"/>
          <w:szCs w:val="20"/>
        </w:rPr>
        <w:t>以下</w:t>
      </w:r>
      <w:r w:rsidR="00124688" w:rsidRPr="00217F33">
        <w:rPr>
          <w:rFonts w:ascii="Meiryo UI" w:eastAsia="Meiryo UI" w:hAnsi="Meiryo UI" w:hint="eastAsia"/>
          <w:sz w:val="20"/>
          <w:szCs w:val="20"/>
        </w:rPr>
        <w:t>に示す後発工事</w:t>
      </w:r>
      <w:r w:rsidRPr="00217F33">
        <w:rPr>
          <w:rFonts w:ascii="Meiryo UI" w:eastAsia="Meiryo UI" w:hAnsi="Meiryo UI" w:hint="eastAsia"/>
          <w:sz w:val="20"/>
          <w:szCs w:val="20"/>
        </w:rPr>
        <w:t>について</w:t>
      </w:r>
      <w:r w:rsidR="00124688" w:rsidRPr="00217F33">
        <w:rPr>
          <w:rFonts w:ascii="Meiryo UI" w:eastAsia="Meiryo UI" w:hAnsi="Meiryo UI" w:hint="eastAsia"/>
          <w:sz w:val="20"/>
          <w:szCs w:val="20"/>
        </w:rPr>
        <w:t>、別途、</w:t>
      </w:r>
      <w:r w:rsidRPr="00217F33">
        <w:rPr>
          <w:rFonts w:ascii="Meiryo UI" w:eastAsia="Meiryo UI" w:hAnsi="Meiryo UI" w:hint="eastAsia"/>
          <w:sz w:val="20"/>
          <w:szCs w:val="20"/>
        </w:rPr>
        <w:t>本工事の受注者と</w:t>
      </w:r>
      <w:r w:rsidR="00124688" w:rsidRPr="00217F33">
        <w:rPr>
          <w:rFonts w:ascii="Meiryo UI" w:eastAsia="Meiryo UI" w:hAnsi="Meiryo UI" w:hint="eastAsia"/>
          <w:sz w:val="20"/>
          <w:szCs w:val="20"/>
        </w:rPr>
        <w:t>協議を行ったうえで、継続契約（</w:t>
      </w:r>
      <w:r w:rsidRPr="00217F33">
        <w:rPr>
          <w:rFonts w:ascii="Meiryo UI" w:eastAsia="Meiryo UI" w:hAnsi="Meiryo UI" w:hint="eastAsia"/>
          <w:sz w:val="20"/>
          <w:szCs w:val="20"/>
        </w:rPr>
        <w:t>随意契約</w:t>
      </w:r>
      <w:r w:rsidR="00124688" w:rsidRPr="00217F33">
        <w:rPr>
          <w:rFonts w:ascii="Meiryo UI" w:eastAsia="Meiryo UI" w:hAnsi="Meiryo UI" w:hint="eastAsia"/>
          <w:sz w:val="20"/>
          <w:szCs w:val="20"/>
        </w:rPr>
        <w:t>）</w:t>
      </w:r>
      <w:r w:rsidRPr="00217F33">
        <w:rPr>
          <w:rFonts w:ascii="Meiryo UI" w:eastAsia="Meiryo UI" w:hAnsi="Meiryo UI" w:hint="eastAsia"/>
          <w:sz w:val="20"/>
          <w:szCs w:val="20"/>
        </w:rPr>
        <w:t>を締結する</w:t>
      </w:r>
      <w:r w:rsidR="00D96513" w:rsidRPr="00217F33">
        <w:rPr>
          <w:rFonts w:ascii="Meiryo UI" w:eastAsia="Meiryo UI" w:hAnsi="Meiryo UI" w:hint="eastAsia"/>
          <w:sz w:val="20"/>
          <w:szCs w:val="20"/>
        </w:rPr>
        <w:t>対象工事</w:t>
      </w:r>
      <w:r w:rsidR="00124688" w:rsidRPr="00217F33">
        <w:rPr>
          <w:rFonts w:ascii="Meiryo UI" w:eastAsia="Meiryo UI" w:hAnsi="Meiryo UI" w:hint="eastAsia"/>
          <w:sz w:val="20"/>
          <w:szCs w:val="20"/>
        </w:rPr>
        <w:t>である。</w:t>
      </w:r>
    </w:p>
    <w:p w14:paraId="36FA635C" w14:textId="77777777" w:rsidR="00FC3ADE" w:rsidRPr="00217F33" w:rsidRDefault="00124688"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なお、</w:t>
      </w:r>
      <w:r w:rsidR="00FC3ADE" w:rsidRPr="00217F33">
        <w:rPr>
          <w:rFonts w:ascii="Meiryo UI" w:eastAsia="Meiryo UI" w:hAnsi="Meiryo UI" w:hint="eastAsia"/>
          <w:sz w:val="20"/>
          <w:szCs w:val="20"/>
        </w:rPr>
        <w:t>後発工事の契約図書は、後発工事に係る契約手続きを行う際に交付する。</w:t>
      </w:r>
    </w:p>
    <w:p w14:paraId="3EC281FC" w14:textId="29160639" w:rsidR="00FC3ADE" w:rsidRPr="00217F33" w:rsidRDefault="00FC3ADE" w:rsidP="00850776">
      <w:pPr>
        <w:snapToGrid w:val="0"/>
        <w:spacing w:line="216" w:lineRule="auto"/>
        <w:rPr>
          <w:rFonts w:ascii="Meiryo UI" w:eastAsia="Meiryo UI" w:hAnsi="Meiryo UI"/>
          <w:sz w:val="20"/>
          <w:szCs w:val="20"/>
        </w:rPr>
      </w:pPr>
    </w:p>
    <w:p w14:paraId="470177EA" w14:textId="77777777" w:rsidR="00FC3ADE" w:rsidRPr="00217F33" w:rsidRDefault="00FC3ADE" w:rsidP="00D96513">
      <w:pPr>
        <w:snapToGrid w:val="0"/>
        <w:spacing w:line="216" w:lineRule="auto"/>
        <w:rPr>
          <w:rFonts w:ascii="Meiryo UI" w:eastAsia="Meiryo UI" w:hAnsi="Meiryo UI"/>
          <w:b/>
          <w:sz w:val="20"/>
          <w:szCs w:val="20"/>
        </w:rPr>
      </w:pPr>
      <w:r w:rsidRPr="00217F33">
        <w:rPr>
          <w:rFonts w:ascii="Meiryo UI" w:eastAsia="Meiryo UI" w:hAnsi="Meiryo UI" w:hint="eastAsia"/>
          <w:b/>
          <w:sz w:val="20"/>
          <w:szCs w:val="20"/>
        </w:rPr>
        <w:t>１．継続契約方式における後発工事</w:t>
      </w:r>
    </w:p>
    <w:p w14:paraId="1E621DE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本工事の入札公告日</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p w14:paraId="7794A0D7"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(1) 後発工事その１</w:t>
      </w:r>
    </w:p>
    <w:tbl>
      <w:tblPr>
        <w:tblStyle w:val="a3"/>
        <w:tblW w:w="9634" w:type="dxa"/>
        <w:tblLook w:val="04A0" w:firstRow="1" w:lastRow="0" w:firstColumn="1" w:lastColumn="0" w:noHBand="0" w:noVBand="1"/>
      </w:tblPr>
      <w:tblGrid>
        <w:gridCol w:w="2405"/>
        <w:gridCol w:w="7229"/>
      </w:tblGrid>
      <w:tr w:rsidR="00FC3ADE" w:rsidRPr="00217F33" w14:paraId="6A30668E" w14:textId="77777777" w:rsidTr="01BA8A3B">
        <w:tc>
          <w:tcPr>
            <w:tcW w:w="2405" w:type="dxa"/>
          </w:tcPr>
          <w:p w14:paraId="1BEB4B59"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工事件名（仮称）</w:t>
            </w:r>
          </w:p>
        </w:tc>
        <w:tc>
          <w:tcPr>
            <w:tcW w:w="7229" w:type="dxa"/>
          </w:tcPr>
          <w:p w14:paraId="2CB656E5" w14:textId="2A9B3FCA" w:rsidR="00FC3ADE" w:rsidRPr="00300683" w:rsidRDefault="00895733" w:rsidP="11BCF136">
            <w:pPr>
              <w:snapToGrid w:val="0"/>
              <w:spacing w:line="216" w:lineRule="auto"/>
              <w:rPr>
                <w:rFonts w:ascii="Meiryo UI" w:eastAsia="Meiryo UI" w:hAnsi="Meiryo UI"/>
                <w:sz w:val="20"/>
                <w:szCs w:val="20"/>
              </w:rPr>
            </w:pPr>
            <w:r w:rsidRPr="11BCF136">
              <w:rPr>
                <w:rFonts w:ascii="Meiryo UI" w:eastAsia="Meiryo UI" w:hAnsi="Meiryo UI"/>
                <w:sz w:val="20"/>
                <w:szCs w:val="20"/>
              </w:rPr>
              <w:t>東関東自動車道　丁子第二高架橋耐震補強工事</w:t>
            </w:r>
          </w:p>
        </w:tc>
      </w:tr>
      <w:tr w:rsidR="00FC3ADE" w:rsidRPr="00217F33" w14:paraId="3FEF3211" w14:textId="77777777" w:rsidTr="01BA8A3B">
        <w:tc>
          <w:tcPr>
            <w:tcW w:w="2405" w:type="dxa"/>
          </w:tcPr>
          <w:p w14:paraId="5DDB4DD8"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工事場所</w:t>
            </w:r>
          </w:p>
        </w:tc>
        <w:tc>
          <w:tcPr>
            <w:tcW w:w="7229" w:type="dxa"/>
          </w:tcPr>
          <w:p w14:paraId="414645C3" w14:textId="2A27FB9D" w:rsidR="00195788" w:rsidRPr="00300683" w:rsidRDefault="009473BF" w:rsidP="11BCF136">
            <w:pPr>
              <w:snapToGrid w:val="0"/>
              <w:spacing w:line="216" w:lineRule="auto"/>
              <w:rPr>
                <w:rFonts w:ascii="Meiryo UI" w:eastAsia="Meiryo UI" w:hAnsi="Meiryo UI"/>
                <w:sz w:val="20"/>
                <w:szCs w:val="20"/>
              </w:rPr>
            </w:pPr>
            <w:r w:rsidRPr="11BCF136">
              <w:rPr>
                <w:rFonts w:ascii="Meiryo UI" w:eastAsia="Meiryo UI" w:hAnsi="Meiryo UI"/>
                <w:sz w:val="20"/>
                <w:szCs w:val="20"/>
              </w:rPr>
              <w:t>千葉県船橋市</w:t>
            </w:r>
            <w:r w:rsidR="00DE52AC" w:rsidRPr="11BCF136">
              <w:rPr>
                <w:rFonts w:ascii="Meiryo UI" w:eastAsia="Meiryo UI" w:hAnsi="Meiryo UI"/>
                <w:sz w:val="20"/>
                <w:szCs w:val="20"/>
              </w:rPr>
              <w:t>～</w:t>
            </w:r>
            <w:r w:rsidRPr="11BCF136">
              <w:rPr>
                <w:rFonts w:ascii="Meiryo UI" w:eastAsia="Meiryo UI" w:hAnsi="Meiryo UI"/>
                <w:sz w:val="20"/>
                <w:szCs w:val="20"/>
              </w:rPr>
              <w:t>茨城県潮来市</w:t>
            </w:r>
            <w:r w:rsidR="00195788" w:rsidRPr="11BCF136">
              <w:rPr>
                <w:rFonts w:ascii="Meiryo UI" w:eastAsia="Meiryo UI" w:hAnsi="Meiryo UI"/>
                <w:sz w:val="20"/>
                <w:szCs w:val="20"/>
              </w:rPr>
              <w:t>、千葉県千葉市</w:t>
            </w:r>
          </w:p>
        </w:tc>
      </w:tr>
      <w:tr w:rsidR="00FC3ADE" w:rsidRPr="00217F33" w14:paraId="735F04ED" w14:textId="77777777" w:rsidTr="01BA8A3B">
        <w:tc>
          <w:tcPr>
            <w:tcW w:w="2405" w:type="dxa"/>
          </w:tcPr>
          <w:p w14:paraId="5660830D"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工事内容</w:t>
            </w:r>
          </w:p>
        </w:tc>
        <w:tc>
          <w:tcPr>
            <w:tcW w:w="7229" w:type="dxa"/>
          </w:tcPr>
          <w:p w14:paraId="4F90717F" w14:textId="56F84A3F" w:rsidR="00FC3ADE" w:rsidRPr="00300683" w:rsidRDefault="00FC3ADE" w:rsidP="11BCF136">
            <w:pPr>
              <w:snapToGrid w:val="0"/>
              <w:spacing w:line="216" w:lineRule="auto"/>
              <w:rPr>
                <w:rFonts w:ascii="Meiryo UI" w:eastAsia="Meiryo UI" w:hAnsi="Meiryo UI"/>
                <w:sz w:val="20"/>
                <w:szCs w:val="20"/>
              </w:rPr>
            </w:pPr>
            <w:r w:rsidRPr="11BCF136">
              <w:rPr>
                <w:rFonts w:ascii="Meiryo UI" w:eastAsia="Meiryo UI" w:hAnsi="Meiryo UI"/>
                <w:sz w:val="20"/>
                <w:szCs w:val="20"/>
              </w:rPr>
              <w:t>本工事は、</w:t>
            </w:r>
            <w:r w:rsidR="599A566F" w:rsidRPr="11BCF136">
              <w:rPr>
                <w:rFonts w:ascii="Meiryo UI" w:eastAsia="Meiryo UI" w:hAnsi="Meiryo UI"/>
                <w:sz w:val="20"/>
                <w:szCs w:val="20"/>
              </w:rPr>
              <w:t>丁子第二高架橋他８橋</w:t>
            </w:r>
            <w:r w:rsidRPr="11BCF136">
              <w:rPr>
                <w:rFonts w:ascii="Meiryo UI" w:eastAsia="Meiryo UI" w:hAnsi="Meiryo UI"/>
                <w:sz w:val="20"/>
                <w:szCs w:val="20"/>
              </w:rPr>
              <w:t>の</w:t>
            </w:r>
            <w:r w:rsidR="5D4B6518" w:rsidRPr="11BCF136">
              <w:rPr>
                <w:rFonts w:ascii="Meiryo UI" w:eastAsia="Meiryo UI" w:hAnsi="Meiryo UI"/>
                <w:sz w:val="20"/>
                <w:szCs w:val="20"/>
              </w:rPr>
              <w:t>耐震補強</w:t>
            </w:r>
            <w:r w:rsidR="005E4CDD" w:rsidRPr="11BCF136">
              <w:rPr>
                <w:rFonts w:ascii="Meiryo UI" w:eastAsia="Meiryo UI" w:hAnsi="Meiryo UI"/>
                <w:sz w:val="20"/>
                <w:szCs w:val="20"/>
              </w:rPr>
              <w:t>を行う工事で</w:t>
            </w:r>
            <w:r w:rsidRPr="11BCF136">
              <w:rPr>
                <w:rFonts w:ascii="Meiryo UI" w:eastAsia="Meiryo UI" w:hAnsi="Meiryo UI"/>
                <w:sz w:val="20"/>
                <w:szCs w:val="20"/>
              </w:rPr>
              <w:t>ある。</w:t>
            </w:r>
          </w:p>
        </w:tc>
      </w:tr>
      <w:tr w:rsidR="00FC3ADE" w:rsidRPr="00217F33" w14:paraId="3823E1C4" w14:textId="77777777" w:rsidTr="01BA8A3B">
        <w:tc>
          <w:tcPr>
            <w:tcW w:w="2405" w:type="dxa"/>
          </w:tcPr>
          <w:p w14:paraId="1F4CF89A"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工事概算数量</w:t>
            </w:r>
          </w:p>
        </w:tc>
        <w:tc>
          <w:tcPr>
            <w:tcW w:w="7229" w:type="dxa"/>
          </w:tcPr>
          <w:p w14:paraId="66E9F333" w14:textId="128B1CCD" w:rsidR="00FC3ADE" w:rsidRPr="00300683" w:rsidRDefault="008D3889" w:rsidP="085B1945">
            <w:pPr>
              <w:snapToGrid w:val="0"/>
              <w:spacing w:line="216" w:lineRule="auto"/>
              <w:rPr>
                <w:rFonts w:ascii="Meiryo UI" w:eastAsia="Meiryo UI" w:hAnsi="Meiryo UI"/>
                <w:sz w:val="20"/>
                <w:szCs w:val="20"/>
              </w:rPr>
            </w:pPr>
            <w:r w:rsidRPr="01BA8A3B">
              <w:rPr>
                <w:rFonts w:ascii="Meiryo UI" w:eastAsia="Meiryo UI" w:hAnsi="Meiryo UI"/>
                <w:sz w:val="20"/>
                <w:szCs w:val="20"/>
              </w:rPr>
              <w:t>耐震補強　9橋（橋脚補強　約２５基、落橋防止構造　約２０箇所、縁端拡幅　約２０箇所</w:t>
            </w:r>
            <w:r w:rsidR="7538556D" w:rsidRPr="01BA8A3B">
              <w:rPr>
                <w:rFonts w:ascii="Meiryo UI" w:eastAsia="Meiryo UI" w:hAnsi="Meiryo UI"/>
                <w:sz w:val="20"/>
                <w:szCs w:val="20"/>
              </w:rPr>
              <w:t>、PCグラウト充填　２連</w:t>
            </w:r>
            <w:r w:rsidRPr="01BA8A3B">
              <w:rPr>
                <w:rFonts w:ascii="Meiryo UI" w:eastAsia="Meiryo UI" w:hAnsi="Meiryo UI"/>
                <w:sz w:val="20"/>
                <w:szCs w:val="20"/>
              </w:rPr>
              <w:t>）</w:t>
            </w:r>
          </w:p>
        </w:tc>
      </w:tr>
      <w:tr w:rsidR="00FC3ADE" w:rsidRPr="00217F33" w14:paraId="57864349" w14:textId="77777777" w:rsidTr="01BA8A3B">
        <w:tc>
          <w:tcPr>
            <w:tcW w:w="2405" w:type="dxa"/>
          </w:tcPr>
          <w:p w14:paraId="5398E7CE"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工期</w:t>
            </w:r>
          </w:p>
        </w:tc>
        <w:tc>
          <w:tcPr>
            <w:tcW w:w="7229" w:type="dxa"/>
          </w:tcPr>
          <w:p w14:paraId="2C01AE3E" w14:textId="1B980A0B" w:rsidR="00FC3ADE" w:rsidRPr="00300683" w:rsidRDefault="00FC3ADE" w:rsidP="085B1945">
            <w:pPr>
              <w:snapToGrid w:val="0"/>
              <w:spacing w:line="216" w:lineRule="auto"/>
              <w:rPr>
                <w:rFonts w:ascii="Meiryo UI" w:eastAsia="Meiryo UI" w:hAnsi="Meiryo UI"/>
                <w:sz w:val="20"/>
                <w:szCs w:val="20"/>
              </w:rPr>
            </w:pPr>
            <w:r w:rsidRPr="085B1945">
              <w:rPr>
                <w:rFonts w:ascii="Meiryo UI" w:eastAsia="Meiryo UI" w:hAnsi="Meiryo UI"/>
                <w:sz w:val="20"/>
                <w:szCs w:val="20"/>
              </w:rPr>
              <w:t>令和</w:t>
            </w:r>
            <w:r w:rsidR="008D3889" w:rsidRPr="085B1945">
              <w:rPr>
                <w:rFonts w:ascii="Meiryo UI" w:eastAsia="Meiryo UI" w:hAnsi="Meiryo UI"/>
                <w:sz w:val="20"/>
                <w:szCs w:val="20"/>
              </w:rPr>
              <w:t>９</w:t>
            </w:r>
            <w:r w:rsidRPr="085B1945">
              <w:rPr>
                <w:rFonts w:ascii="Meiryo UI" w:eastAsia="Meiryo UI" w:hAnsi="Meiryo UI"/>
                <w:sz w:val="20"/>
                <w:szCs w:val="20"/>
              </w:rPr>
              <w:t>年度</w:t>
            </w:r>
            <w:r w:rsidR="008D3889" w:rsidRPr="085B1945">
              <w:rPr>
                <w:rFonts w:ascii="Meiryo UI" w:eastAsia="Meiryo UI" w:hAnsi="Meiryo UI"/>
                <w:sz w:val="20"/>
                <w:szCs w:val="20"/>
              </w:rPr>
              <w:t>１</w:t>
            </w:r>
            <w:r w:rsidRPr="085B1945">
              <w:rPr>
                <w:rFonts w:ascii="Meiryo UI" w:eastAsia="Meiryo UI" w:hAnsi="Meiryo UI"/>
                <w:sz w:val="20"/>
                <w:szCs w:val="20"/>
              </w:rPr>
              <w:t>／四半期～令和</w:t>
            </w:r>
            <w:r w:rsidR="008D3889" w:rsidRPr="085B1945">
              <w:rPr>
                <w:rFonts w:ascii="Meiryo UI" w:eastAsia="Meiryo UI" w:hAnsi="Meiryo UI"/>
                <w:sz w:val="20"/>
                <w:szCs w:val="20"/>
              </w:rPr>
              <w:t>１２</w:t>
            </w:r>
            <w:r w:rsidRPr="085B1945">
              <w:rPr>
                <w:rFonts w:ascii="Meiryo UI" w:eastAsia="Meiryo UI" w:hAnsi="Meiryo UI"/>
                <w:sz w:val="20"/>
                <w:szCs w:val="20"/>
              </w:rPr>
              <w:t>年度</w:t>
            </w:r>
            <w:r w:rsidR="008D3889" w:rsidRPr="085B1945">
              <w:rPr>
                <w:rFonts w:ascii="Meiryo UI" w:eastAsia="Meiryo UI" w:hAnsi="Meiryo UI"/>
                <w:sz w:val="20"/>
                <w:szCs w:val="20"/>
              </w:rPr>
              <w:t>１</w:t>
            </w:r>
            <w:r w:rsidRPr="085B1945">
              <w:rPr>
                <w:rFonts w:ascii="Meiryo UI" w:eastAsia="Meiryo UI" w:hAnsi="Meiryo UI"/>
                <w:sz w:val="20"/>
                <w:szCs w:val="20"/>
              </w:rPr>
              <w:t>／四半期 （約</w:t>
            </w:r>
            <w:r w:rsidR="00300683" w:rsidRPr="085B1945">
              <w:rPr>
                <w:rFonts w:ascii="Meiryo UI" w:eastAsia="Meiryo UI" w:hAnsi="Meiryo UI"/>
                <w:sz w:val="20"/>
                <w:szCs w:val="20"/>
              </w:rPr>
              <w:t>１０</w:t>
            </w:r>
            <w:r w:rsidR="464D77D5" w:rsidRPr="085B1945">
              <w:rPr>
                <w:rFonts w:ascii="Meiryo UI" w:eastAsia="Meiryo UI" w:hAnsi="Meiryo UI"/>
                <w:sz w:val="20"/>
                <w:szCs w:val="20"/>
              </w:rPr>
              <w:t>８</w:t>
            </w:r>
            <w:r w:rsidR="00300683" w:rsidRPr="085B1945">
              <w:rPr>
                <w:rFonts w:ascii="Meiryo UI" w:eastAsia="Meiryo UI" w:hAnsi="Meiryo UI"/>
                <w:sz w:val="20"/>
                <w:szCs w:val="20"/>
              </w:rPr>
              <w:t>０</w:t>
            </w:r>
            <w:r w:rsidRPr="085B1945">
              <w:rPr>
                <w:rFonts w:ascii="Meiryo UI" w:eastAsia="Meiryo UI" w:hAnsi="Meiryo UI"/>
                <w:sz w:val="20"/>
                <w:szCs w:val="20"/>
              </w:rPr>
              <w:t xml:space="preserve"> 日間）</w:t>
            </w:r>
          </w:p>
        </w:tc>
      </w:tr>
    </w:tbl>
    <w:p w14:paraId="6E77296C" w14:textId="77777777" w:rsidR="00FC3ADE" w:rsidRPr="00217F33" w:rsidRDefault="00FC3ADE" w:rsidP="00D96513">
      <w:pPr>
        <w:snapToGrid w:val="0"/>
        <w:spacing w:line="216" w:lineRule="auto"/>
        <w:rPr>
          <w:rFonts w:ascii="Meiryo UI" w:eastAsia="Meiryo UI" w:hAnsi="Meiryo UI"/>
          <w:sz w:val="20"/>
          <w:szCs w:val="20"/>
        </w:rPr>
      </w:pPr>
    </w:p>
    <w:p w14:paraId="6C7CF8DC" w14:textId="77777777" w:rsidR="00FC3ADE" w:rsidRPr="00217F33" w:rsidRDefault="00217F33" w:rsidP="00D96513">
      <w:pPr>
        <w:snapToGrid w:val="0"/>
        <w:spacing w:line="216" w:lineRule="auto"/>
        <w:rPr>
          <w:rFonts w:ascii="Meiryo UI" w:eastAsia="Meiryo UI" w:hAnsi="Meiryo UI"/>
          <w:b/>
          <w:sz w:val="20"/>
          <w:szCs w:val="20"/>
        </w:rPr>
      </w:pPr>
      <w:r>
        <w:rPr>
          <w:rFonts w:ascii="Meiryo UI" w:eastAsia="Meiryo UI" w:hAnsi="Meiryo UI" w:hint="eastAsia"/>
          <w:b/>
          <w:sz w:val="20"/>
          <w:szCs w:val="20"/>
        </w:rPr>
        <w:t>2</w:t>
      </w:r>
      <w:r w:rsidR="00FC3ADE" w:rsidRPr="00217F33">
        <w:rPr>
          <w:rFonts w:ascii="Meiryo UI" w:eastAsia="Meiryo UI" w:hAnsi="Meiryo UI" w:hint="eastAsia"/>
          <w:b/>
          <w:sz w:val="20"/>
          <w:szCs w:val="20"/>
        </w:rPr>
        <w:t>．</w:t>
      </w:r>
      <w:r w:rsidR="00DE52AC" w:rsidRPr="00217F33">
        <w:rPr>
          <w:rFonts w:ascii="Meiryo UI" w:eastAsia="Meiryo UI" w:hAnsi="Meiryo UI" w:hint="eastAsia"/>
          <w:b/>
          <w:sz w:val="20"/>
          <w:szCs w:val="20"/>
        </w:rPr>
        <w:t>後発工事の随意契約条件</w:t>
      </w:r>
    </w:p>
    <w:p w14:paraId="11640E0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tbl>
      <w:tblPr>
        <w:tblStyle w:val="a3"/>
        <w:tblW w:w="9776" w:type="dxa"/>
        <w:tblLook w:val="04A0" w:firstRow="1" w:lastRow="0" w:firstColumn="1" w:lastColumn="0" w:noHBand="0" w:noVBand="1"/>
      </w:tblPr>
      <w:tblGrid>
        <w:gridCol w:w="2405"/>
        <w:gridCol w:w="7371"/>
      </w:tblGrid>
      <w:tr w:rsidR="00DE52AC" w:rsidRPr="00217F33" w14:paraId="73371AC4" w14:textId="77777777" w:rsidTr="0D712DE4">
        <w:tc>
          <w:tcPr>
            <w:tcW w:w="2405" w:type="dxa"/>
          </w:tcPr>
          <w:p w14:paraId="467AF0F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総合評価落札方式</w:t>
            </w:r>
          </w:p>
          <w:p w14:paraId="757C20E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における技術提案</w:t>
            </w:r>
          </w:p>
        </w:tc>
        <w:tc>
          <w:tcPr>
            <w:tcW w:w="7371" w:type="dxa"/>
          </w:tcPr>
          <w:p w14:paraId="36083070" w14:textId="664B2E3E"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本工事に係る技術提案の考え方は、後発工事に係る技術提案に踏襲されることを条件とする。なお、後発工事の発注段階で、再度、後発工事の技術提案の提出を求める。</w:t>
            </w:r>
          </w:p>
        </w:tc>
      </w:tr>
      <w:tr w:rsidR="00DE52AC" w:rsidRPr="00217F33" w14:paraId="20C9868B" w14:textId="77777777" w:rsidTr="0D712DE4">
        <w:tc>
          <w:tcPr>
            <w:tcW w:w="2405" w:type="dxa"/>
          </w:tcPr>
          <w:p w14:paraId="240AC87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配置予定技術者</w:t>
            </w:r>
          </w:p>
        </w:tc>
        <w:tc>
          <w:tcPr>
            <w:tcW w:w="7371" w:type="dxa"/>
          </w:tcPr>
          <w:p w14:paraId="17E274F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後発工事の配置予定技術者は、下記のいずれかの者とする。</w:t>
            </w:r>
          </w:p>
          <w:p w14:paraId="65ACFA6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w:t>
            </w:r>
          </w:p>
          <w:p w14:paraId="380E4EF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・当初発注工事で配置した技術者（現場代理人又は監理技術者）と同等以上の者</w:t>
            </w:r>
          </w:p>
          <w:p w14:paraId="4CBA43D8" w14:textId="17F8354C"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・当初発注工事若しく後発工事に従事した担当技術者</w:t>
            </w:r>
          </w:p>
        </w:tc>
      </w:tr>
      <w:tr w:rsidR="00DE52AC" w:rsidRPr="00217F33" w14:paraId="424F186B" w14:textId="77777777" w:rsidTr="0D712DE4">
        <w:tc>
          <w:tcPr>
            <w:tcW w:w="2405" w:type="dxa"/>
          </w:tcPr>
          <w:p w14:paraId="6E3B4A80"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落札率</w:t>
            </w:r>
          </w:p>
        </w:tc>
        <w:tc>
          <w:tcPr>
            <w:tcW w:w="7371" w:type="dxa"/>
          </w:tcPr>
          <w:p w14:paraId="73A5FFB1" w14:textId="4FE59556"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後発工事には、本工事の落札率を考慮する。</w:t>
            </w:r>
          </w:p>
        </w:tc>
      </w:tr>
      <w:tr w:rsidR="00DE52AC" w:rsidRPr="00217F33" w14:paraId="39C7CEEE" w14:textId="77777777" w:rsidTr="0D712DE4">
        <w:tc>
          <w:tcPr>
            <w:tcW w:w="2405" w:type="dxa"/>
          </w:tcPr>
          <w:p w14:paraId="6F68A918"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諸経費調整</w:t>
            </w:r>
          </w:p>
        </w:tc>
        <w:tc>
          <w:tcPr>
            <w:tcW w:w="7371" w:type="dxa"/>
          </w:tcPr>
          <w:p w14:paraId="654C7E9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後発工事の諸経費については、最新の土木工事積算基準における「随意契約工事諸経費の取扱い」に基づく諸経費調整を行う。</w:t>
            </w:r>
          </w:p>
          <w:p w14:paraId="1D2BF0F6" w14:textId="42A07DBB"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（本工事と後発工事の合算額に相当する諸経費を算出し、継続契約方式により調達する工事のうち契約済工事の諸経費相当額を差引く</w:t>
            </w:r>
          </w:p>
        </w:tc>
      </w:tr>
      <w:tr w:rsidR="00DE52AC" w:rsidRPr="00217F33" w14:paraId="501DD069" w14:textId="77777777" w:rsidTr="0D712DE4">
        <w:trPr>
          <w:trHeight w:val="1544"/>
        </w:trPr>
        <w:tc>
          <w:tcPr>
            <w:tcW w:w="2405" w:type="dxa"/>
          </w:tcPr>
          <w:p w14:paraId="415A57D4"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随意契約の実施判断</w:t>
            </w:r>
          </w:p>
        </w:tc>
        <w:tc>
          <w:tcPr>
            <w:tcW w:w="7371" w:type="dxa"/>
          </w:tcPr>
          <w:p w14:paraId="139233E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03CFA5F1" w14:textId="6ADDD4A5"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22D13F63" w14:textId="270F14CB" w:rsidR="00DE52AC" w:rsidRPr="00217F33" w:rsidRDefault="00D96513"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以　上</w:t>
      </w:r>
    </w:p>
    <w:sectPr w:rsidR="00DE52AC" w:rsidRPr="00217F33"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6F828" w14:textId="77777777" w:rsidR="00410B08" w:rsidRDefault="00410B08" w:rsidP="00217F33">
      <w:r>
        <w:separator/>
      </w:r>
    </w:p>
  </w:endnote>
  <w:endnote w:type="continuationSeparator" w:id="0">
    <w:p w14:paraId="46B84252" w14:textId="77777777" w:rsidR="00410B08" w:rsidRDefault="00410B08" w:rsidP="00217F33">
      <w:r>
        <w:continuationSeparator/>
      </w:r>
    </w:p>
  </w:endnote>
  <w:endnote w:type="continuationNotice" w:id="1">
    <w:p w14:paraId="7D85F2AE" w14:textId="77777777" w:rsidR="00524409" w:rsidRDefault="00524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64B3" w14:textId="77777777" w:rsidR="00410B08" w:rsidRDefault="00410B08" w:rsidP="00217F33">
      <w:r>
        <w:separator/>
      </w:r>
    </w:p>
  </w:footnote>
  <w:footnote w:type="continuationSeparator" w:id="0">
    <w:p w14:paraId="41600CD7" w14:textId="77777777" w:rsidR="00410B08" w:rsidRDefault="00410B08" w:rsidP="00217F33">
      <w:r>
        <w:continuationSeparator/>
      </w:r>
    </w:p>
  </w:footnote>
  <w:footnote w:type="continuationNotice" w:id="1">
    <w:p w14:paraId="711DAEE3" w14:textId="77777777" w:rsidR="00524409" w:rsidRDefault="0052440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64152"/>
    <w:rsid w:val="000F0B02"/>
    <w:rsid w:val="00113775"/>
    <w:rsid w:val="00113D5D"/>
    <w:rsid w:val="00124688"/>
    <w:rsid w:val="00195788"/>
    <w:rsid w:val="00217F33"/>
    <w:rsid w:val="003003FC"/>
    <w:rsid w:val="00300683"/>
    <w:rsid w:val="003804C6"/>
    <w:rsid w:val="00384A29"/>
    <w:rsid w:val="003917BC"/>
    <w:rsid w:val="00410B08"/>
    <w:rsid w:val="004B0BCC"/>
    <w:rsid w:val="004B57EC"/>
    <w:rsid w:val="00500A2F"/>
    <w:rsid w:val="00524409"/>
    <w:rsid w:val="00564924"/>
    <w:rsid w:val="005A0C1A"/>
    <w:rsid w:val="005A230B"/>
    <w:rsid w:val="005E4CDD"/>
    <w:rsid w:val="006E0746"/>
    <w:rsid w:val="0076627D"/>
    <w:rsid w:val="007875FE"/>
    <w:rsid w:val="0084081B"/>
    <w:rsid w:val="00850776"/>
    <w:rsid w:val="00895733"/>
    <w:rsid w:val="008D3889"/>
    <w:rsid w:val="00917337"/>
    <w:rsid w:val="00927A19"/>
    <w:rsid w:val="009473BF"/>
    <w:rsid w:val="00A4110D"/>
    <w:rsid w:val="00C22977"/>
    <w:rsid w:val="00D96513"/>
    <w:rsid w:val="00DE52AC"/>
    <w:rsid w:val="00FB36E1"/>
    <w:rsid w:val="00FC3ADE"/>
    <w:rsid w:val="01BA8A3B"/>
    <w:rsid w:val="085B1945"/>
    <w:rsid w:val="0D712DE4"/>
    <w:rsid w:val="11BCF136"/>
    <w:rsid w:val="464D77D5"/>
    <w:rsid w:val="599A566F"/>
    <w:rsid w:val="5D4B6518"/>
    <w:rsid w:val="5F85DA74"/>
    <w:rsid w:val="6A9FD2F8"/>
    <w:rsid w:val="7538556D"/>
    <w:rsid w:val="75CEF4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2025-02-12T09:05:00Z</dcterms:created>
  <dcterms:modified xsi:type="dcterms:W3CDTF">2025-02-12T09:05:00Z</dcterms:modified>
</cp:coreProperties>
</file>